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B4984C">
      <w:pPr>
        <w:pStyle w:val="10"/>
        <w:spacing w:line="360" w:lineRule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山东济钢气体有限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公司</w:t>
      </w:r>
    </w:p>
    <w:p w14:paraId="2C3B3EC1">
      <w:pPr>
        <w:pStyle w:val="10"/>
        <w:spacing w:line="360" w:lineRule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2026年夏季“四防”安全隐患整改项目询比价公告</w:t>
      </w:r>
    </w:p>
    <w:p w14:paraId="598D9253">
      <w:pPr>
        <w:pStyle w:val="10"/>
        <w:spacing w:line="360" w:lineRule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招标编号：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instrText xml:space="preserve"> HYPERLINK "javascript:__doPostBack('LinkButton2','')" </w:instrTex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1075260511001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fldChar w:fldCharType="end"/>
      </w:r>
      <w:bookmarkEnd w:id="0"/>
    </w:p>
    <w:p w14:paraId="5D33A503">
      <w:pPr>
        <w:autoSpaceDE w:val="0"/>
        <w:autoSpaceDN w:val="0"/>
        <w:adjustRightInd w:val="0"/>
        <w:spacing w:after="0" w:line="4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年夏季“四防”安全隐患整改项目</w:t>
      </w:r>
    </w:p>
    <w:p w14:paraId="29D6E3EE">
      <w:pPr>
        <w:pStyle w:val="10"/>
        <w:spacing w:line="500" w:lineRule="exact"/>
        <w:jc w:val="both"/>
        <w:rPr>
          <w:rFonts w:hint="default" w:ascii="仿宋_GB2312" w:hAnsi="Calibri" w:eastAsia="仿宋_GB2312" w:cs="宋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Calibri" w:eastAsia="仿宋_GB2312" w:cs="宋体"/>
          <w:b w:val="0"/>
          <w:kern w:val="2"/>
          <w:sz w:val="32"/>
          <w:szCs w:val="32"/>
          <w:lang w:val="en-US" w:eastAsia="zh-CN" w:bidi="ar-SA"/>
        </w:rPr>
        <w:t>山东济钢气体有限公司院内</w:t>
      </w:r>
    </w:p>
    <w:p w14:paraId="611963F1">
      <w:pPr>
        <w:spacing w:line="500" w:lineRule="exact"/>
        <w:jc w:val="left"/>
        <w:rPr>
          <w:rFonts w:hint="default" w:ascii="仿宋_GB2312" w:hAnsi="Calibri" w:eastAsia="仿宋_GB2312" w:cs="宋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施工范围：</w:t>
      </w:r>
      <w:r>
        <w:rPr>
          <w:rFonts w:hint="eastAsia" w:ascii="仿宋_GB2312" w:hAnsi="Calibri" w:eastAsia="仿宋_GB2312" w:cs="宋体"/>
          <w:b w:val="0"/>
          <w:kern w:val="2"/>
          <w:sz w:val="32"/>
          <w:szCs w:val="32"/>
          <w:lang w:val="en-US" w:eastAsia="zh-CN" w:bidi="ar-SA"/>
        </w:rPr>
        <w:t>详见工程量清单</w:t>
      </w:r>
    </w:p>
    <w:p w14:paraId="177172C5">
      <w:pPr>
        <w:spacing w:after="0" w:line="48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四、资格要求：</w:t>
      </w:r>
    </w:p>
    <w:p w14:paraId="4E52A888">
      <w:pPr>
        <w:spacing w:after="0" w:line="48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在中国境内注册并具有独立法人资格的合法企业单位。</w:t>
      </w:r>
    </w:p>
    <w:p w14:paraId="4385834B">
      <w:pPr>
        <w:spacing w:after="0"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资质要求：供应商需具有建筑工程施工总承包叁级及以上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资质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，具有建设行政主管部门颁发的有效安全生产许可证。</w:t>
      </w:r>
    </w:p>
    <w:p w14:paraId="29F16DF6">
      <w:pPr>
        <w:spacing w:after="0"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.供应商在人员、设备、资金等方面具有相应的技术能力和良好的财务能力，具有良好的银行资信和商业信誉及健全的财务会计制度，没有处于被责令停业、资产被重组、接管、冻结及破产状态。</w:t>
      </w:r>
    </w:p>
    <w:p w14:paraId="7ECF8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年1月1日至今，类似项目业绩至少1份（以合同签订时间为准）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3E89922">
      <w:pPr>
        <w:spacing w:after="0" w:line="480" w:lineRule="exact"/>
        <w:ind w:left="533" w:leftChars="254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.本项目不接受联合体投标。</w:t>
      </w:r>
    </w:p>
    <w:p w14:paraId="2DEED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单位负责人为同一人或者存在控股、管理关系的不同单位，或同一母公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司的子公司，不能同时参加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 w14:paraId="44228C9D">
      <w:pPr>
        <w:spacing w:after="0"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7.发包人不统一组织踏勘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en-US"/>
        </w:rPr>
        <w:t>现场。</w:t>
      </w:r>
    </w:p>
    <w:p w14:paraId="183018C7">
      <w:pPr>
        <w:numPr>
          <w:ilvl w:val="0"/>
          <w:numId w:val="0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报价及结算：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（单位：元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7F8BE7D">
      <w:pPr>
        <w:pStyle w:val="9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942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971"/>
        <w:gridCol w:w="1718"/>
        <w:gridCol w:w="1079"/>
        <w:gridCol w:w="1230"/>
        <w:gridCol w:w="1230"/>
      </w:tblGrid>
      <w:tr w14:paraId="5BBD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9761CF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1" w:type="dxa"/>
            <w:tcBorders>
              <w:tl2br w:val="nil"/>
              <w:tr2bl w:val="nil"/>
            </w:tcBorders>
            <w:noWrap/>
            <w:vAlign w:val="center"/>
          </w:tcPr>
          <w:p w14:paraId="6340E76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0CD1DB4"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>数量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/>
            <w:vAlign w:val="center"/>
          </w:tcPr>
          <w:p w14:paraId="0F8BA44F"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>单价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40EF1D24"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>总价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7A6E2597"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6CE4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D03BD6E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1" w:type="dxa"/>
            <w:tcBorders>
              <w:tl2br w:val="nil"/>
              <w:tr2bl w:val="nil"/>
            </w:tcBorders>
            <w:noWrap/>
            <w:vAlign w:val="center"/>
          </w:tcPr>
          <w:p w14:paraId="5953D21D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厂区东南区域平房</w:t>
            </w: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窗户防晒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9F26E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m</w:t>
            </w: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*2m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/>
            <w:vAlign w:val="center"/>
          </w:tcPr>
          <w:p w14:paraId="7DC36C9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1EC72DE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243466F7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增加</w:t>
            </w: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防晒</w:t>
            </w: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网</w:t>
            </w:r>
          </w:p>
        </w:tc>
      </w:tr>
      <w:tr w14:paraId="76B2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C90184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1" w:type="dxa"/>
            <w:tcBorders>
              <w:tl2br w:val="nil"/>
              <w:tr2bl w:val="nil"/>
            </w:tcBorders>
            <w:noWrap/>
            <w:vAlign w:val="center"/>
          </w:tcPr>
          <w:p w14:paraId="703A760E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厂区东南区域平房仓库</w:t>
            </w: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屋檐立面</w:t>
            </w: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脱落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0299E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60m</w:t>
            </w: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*0.4m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/>
            <w:vAlign w:val="center"/>
          </w:tcPr>
          <w:p w14:paraId="168324EF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050CB02E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0F10D645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立面清理、刮腻子修补立面</w:t>
            </w:r>
          </w:p>
        </w:tc>
      </w:tr>
      <w:tr w14:paraId="012C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072F247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971" w:type="dxa"/>
            <w:tcBorders>
              <w:tl2br w:val="nil"/>
              <w:tr2bl w:val="nil"/>
            </w:tcBorders>
            <w:noWrap/>
            <w:vAlign w:val="center"/>
          </w:tcPr>
          <w:p w14:paraId="02534246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16间平房外墙损坏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481DA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280m²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/>
            <w:vAlign w:val="center"/>
          </w:tcPr>
          <w:p w14:paraId="343D99C4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354523C2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4AEEC65A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外墙清理、刮腻子、刷防水涂料（质保2年）</w:t>
            </w:r>
          </w:p>
        </w:tc>
      </w:tr>
      <w:tr w14:paraId="4F17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A8306EB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971" w:type="dxa"/>
            <w:tcBorders>
              <w:tl2br w:val="nil"/>
              <w:tr2bl w:val="nil"/>
            </w:tcBorders>
            <w:noWrap/>
            <w:vAlign w:val="center"/>
          </w:tcPr>
          <w:p w14:paraId="022E1F8C">
            <w:pPr>
              <w:widowControl/>
              <w:jc w:val="left"/>
              <w:rPr>
                <w:rFonts w:hint="default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空分塔北侧冷箱结霜泄漏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D96EC">
            <w:pPr>
              <w:widowControl/>
              <w:jc w:val="left"/>
              <w:rPr>
                <w:rFonts w:hint="default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 xml:space="preserve"> 10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m²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/>
            <w:vAlign w:val="center"/>
          </w:tcPr>
          <w:p w14:paraId="37B17E5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61CFAD05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5366D751"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钢板加固焊接</w:t>
            </w: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  <w:lang w:val="en-US" w:eastAsia="zh-CN"/>
              </w:rPr>
              <w:t>扒砂、回填(主材甲供）</w:t>
            </w:r>
          </w:p>
        </w:tc>
      </w:tr>
      <w:tr w14:paraId="0F08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9E5AA41">
            <w:pPr>
              <w:widowControl/>
              <w:jc w:val="left"/>
              <w:rPr>
                <w:rFonts w:hint="eastAsia" w:ascii="等线" w:hAnsi="宋体" w:eastAsia="等线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971" w:type="dxa"/>
            <w:tcBorders>
              <w:tl2br w:val="nil"/>
              <w:tr2bl w:val="nil"/>
            </w:tcBorders>
            <w:noWrap/>
            <w:vAlign w:val="center"/>
          </w:tcPr>
          <w:p w14:paraId="2F1976C9">
            <w:pPr>
              <w:widowControl/>
              <w:jc w:val="left"/>
              <w:rPr>
                <w:rFonts w:hint="eastAsia" w:ascii="等线" w:hAnsi="宋体" w:eastAsia="等线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  <w:lang w:val="en-US" w:eastAsia="zh-CN"/>
              </w:rPr>
              <w:t>空调维保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CC450">
            <w:pPr>
              <w:widowControl/>
              <w:jc w:val="left"/>
              <w:rPr>
                <w:rFonts w:hint="default" w:ascii="等线" w:hAnsi="宋体" w:eastAsia="等线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</w:rPr>
              <w:t>台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/>
            <w:vAlign w:val="center"/>
          </w:tcPr>
          <w:p w14:paraId="2545B8FF">
            <w:pPr>
              <w:widowControl/>
              <w:jc w:val="left"/>
              <w:rPr>
                <w:rFonts w:hint="eastAsia" w:ascii="等线" w:hAnsi="宋体" w:eastAsia="等线" w:cs="宋体"/>
                <w:color w:val="auto"/>
                <w:kern w:val="0"/>
                <w:sz w:val="22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05A67165">
            <w:pPr>
              <w:widowControl/>
              <w:jc w:val="left"/>
              <w:rPr>
                <w:rFonts w:hint="eastAsia" w:ascii="等线" w:hAnsi="宋体" w:eastAsia="等线" w:cs="宋体"/>
                <w:color w:val="auto"/>
                <w:kern w:val="0"/>
                <w:sz w:val="22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6D5405EC">
            <w:pPr>
              <w:widowControl/>
              <w:jc w:val="left"/>
              <w:rPr>
                <w:rFonts w:hint="default" w:ascii="等线" w:hAnsi="宋体" w:eastAsia="等线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</w:rPr>
              <w:t>维修保养</w:t>
            </w: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  <w:lang w:val="en-US" w:eastAsia="zh-CN"/>
              </w:rPr>
              <w:t>根据实际维保数量结算）</w:t>
            </w:r>
          </w:p>
        </w:tc>
      </w:tr>
      <w:tr w14:paraId="1A8F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E7A4260">
            <w:pPr>
              <w:widowControl/>
              <w:jc w:val="left"/>
              <w:rPr>
                <w:rFonts w:hint="eastAsia" w:ascii="等线" w:hAnsi="宋体" w:eastAsia="等线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971" w:type="dxa"/>
            <w:tcBorders>
              <w:tl2br w:val="nil"/>
              <w:tr2bl w:val="nil"/>
            </w:tcBorders>
            <w:noWrap/>
            <w:vAlign w:val="center"/>
          </w:tcPr>
          <w:p w14:paraId="77A5C422">
            <w:pPr>
              <w:widowControl/>
              <w:jc w:val="left"/>
              <w:rPr>
                <w:rFonts w:hint="eastAsia" w:ascii="等线" w:hAnsi="宋体" w:eastAsia="等线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</w:rPr>
              <w:t>液化装置液体产品管道保温层损坏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CDDED">
            <w:pPr>
              <w:widowControl/>
              <w:jc w:val="left"/>
              <w:rPr>
                <w:rFonts w:ascii="等线" w:hAnsi="宋体" w:eastAsia="等线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  <w:lang w:val="en-US" w:eastAsia="zh-CN"/>
              </w:rPr>
              <w:t>1.6</w:t>
            </w: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>m3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/>
            <w:vAlign w:val="center"/>
          </w:tcPr>
          <w:p w14:paraId="40E3859A">
            <w:pPr>
              <w:widowControl/>
              <w:jc w:val="left"/>
              <w:rPr>
                <w:rFonts w:ascii="等线" w:hAnsi="宋体" w:eastAsia="等线" w:cs="宋体"/>
                <w:color w:val="auto"/>
                <w:kern w:val="0"/>
                <w:sz w:val="22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24B586A6">
            <w:pPr>
              <w:widowControl/>
              <w:jc w:val="left"/>
              <w:rPr>
                <w:rFonts w:hint="eastAsia" w:ascii="等线" w:hAnsi="宋体" w:eastAsia="等线" w:cs="宋体"/>
                <w:color w:val="auto"/>
                <w:kern w:val="0"/>
                <w:sz w:val="22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14:paraId="72FBB5D0">
            <w:pPr>
              <w:widowControl/>
              <w:jc w:val="left"/>
              <w:rPr>
                <w:rFonts w:hint="default" w:ascii="等线" w:hAnsi="宋体" w:eastAsia="等线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</w:rPr>
              <w:t>橡塑棉</w:t>
            </w:r>
            <w:r>
              <w:rPr>
                <w:rFonts w:hint="eastAsia" w:ascii="等线" w:hAnsi="宋体" w:eastAsia="等线" w:cs="宋体"/>
                <w:color w:val="auto"/>
                <w:kern w:val="0"/>
                <w:szCs w:val="21"/>
                <w:lang w:val="en-US" w:eastAsia="zh-CN"/>
              </w:rPr>
              <w:t>厚度不少于60mm，外壳铝皮厚度不少于0.5mm。(质保2年）</w:t>
            </w:r>
          </w:p>
        </w:tc>
      </w:tr>
      <w:tr w14:paraId="68B9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07130923"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822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1DED828B">
            <w:pPr>
              <w:widowControl/>
              <w:ind w:firstLine="6600" w:firstLineChars="3000"/>
              <w:jc w:val="both"/>
              <w:rPr>
                <w:rFonts w:hint="default" w:ascii="等线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>含税（     ）</w:t>
            </w:r>
          </w:p>
        </w:tc>
      </w:tr>
      <w:tr w14:paraId="2D34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42" w:type="dxa"/>
            <w:gridSpan w:val="6"/>
          </w:tcPr>
          <w:p w14:paraId="63E915A0">
            <w:pPr>
              <w:pStyle w:val="12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工期：30日历天。</w:t>
            </w:r>
          </w:p>
        </w:tc>
      </w:tr>
      <w:tr w14:paraId="23A8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942" w:type="dxa"/>
            <w:gridSpan w:val="6"/>
          </w:tcPr>
          <w:p w14:paraId="548F8B46">
            <w:pPr>
              <w:pStyle w:val="12"/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付款方式：维修完毕验收合格后开具发票，招标人收到发票后30日内付款，方式：银行电汇或承兑汇票。</w:t>
            </w:r>
          </w:p>
        </w:tc>
      </w:tr>
      <w:tr w14:paraId="7851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942" w:type="dxa"/>
            <w:gridSpan w:val="6"/>
          </w:tcPr>
          <w:p w14:paraId="15090D02">
            <w:pPr>
              <w:pStyle w:val="12"/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公司名称：（此处盖章）</w:t>
            </w:r>
          </w:p>
        </w:tc>
      </w:tr>
      <w:tr w14:paraId="070E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42" w:type="dxa"/>
            <w:gridSpan w:val="6"/>
          </w:tcPr>
          <w:p w14:paraId="27BE108D">
            <w:pPr>
              <w:pStyle w:val="12"/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日期：    年  月   日</w:t>
            </w:r>
          </w:p>
        </w:tc>
      </w:tr>
    </w:tbl>
    <w:p w14:paraId="56176C39">
      <w:pPr>
        <w:ind w:firstLine="630" w:firstLineChars="300"/>
        <w:rPr>
          <w:rFonts w:hint="eastAsia" w:ascii="等线" w:hAnsi="宋体" w:eastAsia="等线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等线" w:hAnsi="宋体" w:eastAsia="等线" w:cs="宋体"/>
          <w:color w:val="000000"/>
          <w:kern w:val="0"/>
          <w:szCs w:val="21"/>
        </w:rPr>
        <w:t xml:space="preserve"> </w:t>
      </w:r>
      <w:r>
        <w:rPr>
          <w:rFonts w:hint="eastAsia" w:ascii="等线" w:hAnsi="宋体" w:eastAsia="等线" w:cs="宋体"/>
          <w:color w:val="000000"/>
          <w:kern w:val="0"/>
          <w:sz w:val="21"/>
          <w:szCs w:val="21"/>
          <w:lang w:val="en-US" w:eastAsia="zh-CN" w:bidi="ar-SA"/>
        </w:rPr>
        <w:t>注：具体工作量以实际为准。</w:t>
      </w:r>
    </w:p>
    <w:p w14:paraId="6F805123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、公告和报名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 w14:paraId="4D6E2AD9">
      <w:pPr>
        <w:autoSpaceDE w:val="0"/>
        <w:autoSpaceDN w:val="0"/>
        <w:adjustRightInd w:val="0"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1、报名方式：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线上报名方式。</w:t>
      </w:r>
      <w:r>
        <w:rPr>
          <w:rFonts w:hint="eastAsia" w:ascii="仿宋_GB2312" w:hAnsi="宋体" w:eastAsia="仿宋_GB2312" w:cs="Arial Unicode MS"/>
          <w:kern w:val="0"/>
          <w:sz w:val="32"/>
          <w:szCs w:val="32"/>
          <w:lang w:val="zh-CN"/>
        </w:rPr>
        <w:t>通过登录济钢集团阳光购销平台网上报名，系统网址：bidding.jigang.com.cn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 </w:t>
      </w:r>
    </w:p>
    <w:p w14:paraId="2118A413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2、公告和报名时间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</w:rPr>
        <w:t>：202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7030A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（北京时间）。 </w:t>
      </w:r>
    </w:p>
    <w:p w14:paraId="0D2D0202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七、招标文件获取</w:t>
      </w:r>
    </w:p>
    <w:p w14:paraId="3442DC9E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1、招标文件售价：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200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元，对公转账并注明购买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年夏季“四防”安全隐患整改项目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招标文件。</w:t>
      </w:r>
    </w:p>
    <w:p w14:paraId="54BECD91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2、招标文件地点：网上下载；</w:t>
      </w:r>
    </w:p>
    <w:p w14:paraId="718DAADC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3、招标联系人：何先生，联系电话：15666965290；</w:t>
      </w:r>
    </w:p>
    <w:p w14:paraId="20988F78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4、业务联系人：刘先生，联系电话：13065066189 。</w:t>
      </w:r>
    </w:p>
    <w:p w14:paraId="131119DA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招标人银行信息：</w:t>
      </w:r>
    </w:p>
    <w:p w14:paraId="5EE7C7E8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开户银行：工行兰陵支行   </w:t>
      </w:r>
    </w:p>
    <w:p w14:paraId="57B2F42D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收款人：山东济钢气体有限公司     </w:t>
      </w:r>
    </w:p>
    <w:p w14:paraId="5C8725F5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开户银行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账号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：1610020309200268642</w:t>
      </w:r>
    </w:p>
    <w:p w14:paraId="4EC63364"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招标用邮箱：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instrText xml:space="preserve"> HYPERLINK "mailto:hesz2003@163.com" </w:instrTex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hesz2003@163.com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fldChar w:fldCharType="end"/>
      </w:r>
    </w:p>
    <w:p w14:paraId="5310A894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八、开标</w:t>
      </w:r>
    </w:p>
    <w:p w14:paraId="10D65634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1、开标时间：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:00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（北京时间）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</w:p>
    <w:p w14:paraId="16A6C692">
      <w:pPr>
        <w:spacing w:line="360" w:lineRule="auto"/>
        <w:rPr>
          <w:rFonts w:hint="default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2、开标地点：</w:t>
      </w:r>
      <w:r>
        <w:rPr>
          <w:rFonts w:hint="eastAsia" w:ascii="仿宋_GB2312" w:hAnsi="仿宋_GB2312" w:eastAsia="仿宋_GB2312" w:cs="仿宋_GB2312"/>
          <w:sz w:val="30"/>
          <w:szCs w:val="30"/>
        </w:rPr>
        <w:t>山东济钢气体有限公司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网上开标</w:t>
      </w:r>
    </w:p>
    <w:p w14:paraId="3FE554AF">
      <w:pPr>
        <w:spacing w:line="500" w:lineRule="exact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、其他：</w:t>
      </w:r>
    </w:p>
    <w:p w14:paraId="764BDBB0">
      <w:pPr>
        <w:spacing w:line="50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报名及投标人员在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山东济钢气体有限公司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的一切活动必须遵守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气体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公司的安全规定。现场技术交底及现场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sz w:val="30"/>
          <w:szCs w:val="30"/>
        </w:rPr>
        <w:t>必须遵守现场安全管理规定，服从现场指挥。</w:t>
      </w:r>
    </w:p>
    <w:p w14:paraId="2489BFA5">
      <w:pPr>
        <w:spacing w:line="50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34664D0C"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6F4E43F6">
      <w:pPr>
        <w:spacing w:line="360" w:lineRule="auto"/>
        <w:ind w:firstLine="4200" w:firstLineChars="14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山东济钢气体有限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</w:t>
      </w:r>
    </w:p>
    <w:p w14:paraId="025CBB4A">
      <w:pPr>
        <w:spacing w:line="360" w:lineRule="auto"/>
        <w:ind w:firstLine="4500" w:firstLineChars="15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年5月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</w:t>
      </w:r>
    </w:p>
    <w:p w14:paraId="3151CD72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</w:t>
      </w:r>
    </w:p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E78E8A-96B0-4F4B-9837-8534F3C762D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95F1F3D-E469-4115-AA62-9AE8144262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B358BF-AF56-4297-A3E6-5DCA66FB9987}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4" w:fontKey="{28216B90-45D5-4236-8858-25AA1FC20286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  <w:embedRegular r:id="rId5" w:fontKey="{3AE70D23-C3D6-403F-8784-DD4AF12919B3}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NmJmZDY4NjRjNDFmYjYwNDkwZDdkYjE2ODNlOGUifQ=="/>
  </w:docVars>
  <w:rsids>
    <w:rsidRoot w:val="00172A27"/>
    <w:rsid w:val="00033CAA"/>
    <w:rsid w:val="00050F06"/>
    <w:rsid w:val="00053474"/>
    <w:rsid w:val="00085E04"/>
    <w:rsid w:val="000A004F"/>
    <w:rsid w:val="000A4124"/>
    <w:rsid w:val="00112A47"/>
    <w:rsid w:val="00145A0B"/>
    <w:rsid w:val="00152A35"/>
    <w:rsid w:val="0016324B"/>
    <w:rsid w:val="001657D8"/>
    <w:rsid w:val="00172A27"/>
    <w:rsid w:val="001A057A"/>
    <w:rsid w:val="001C2707"/>
    <w:rsid w:val="001F6857"/>
    <w:rsid w:val="002204C0"/>
    <w:rsid w:val="00243CA1"/>
    <w:rsid w:val="002B3564"/>
    <w:rsid w:val="002C458E"/>
    <w:rsid w:val="003013E2"/>
    <w:rsid w:val="00301C87"/>
    <w:rsid w:val="003D2E6C"/>
    <w:rsid w:val="00441DF2"/>
    <w:rsid w:val="004862ED"/>
    <w:rsid w:val="005151F9"/>
    <w:rsid w:val="0066749A"/>
    <w:rsid w:val="00692C3E"/>
    <w:rsid w:val="006E3E40"/>
    <w:rsid w:val="006F0EC1"/>
    <w:rsid w:val="007275B6"/>
    <w:rsid w:val="007B1B2A"/>
    <w:rsid w:val="008B58D7"/>
    <w:rsid w:val="008D211E"/>
    <w:rsid w:val="0091197C"/>
    <w:rsid w:val="00A41F86"/>
    <w:rsid w:val="00B142F3"/>
    <w:rsid w:val="00B428A2"/>
    <w:rsid w:val="00BD5603"/>
    <w:rsid w:val="00C22C37"/>
    <w:rsid w:val="00C606F3"/>
    <w:rsid w:val="00C72817"/>
    <w:rsid w:val="00C955C6"/>
    <w:rsid w:val="00D10EA8"/>
    <w:rsid w:val="00D142E4"/>
    <w:rsid w:val="00D54571"/>
    <w:rsid w:val="00D56465"/>
    <w:rsid w:val="00D9692D"/>
    <w:rsid w:val="00DB5A9C"/>
    <w:rsid w:val="00DF4782"/>
    <w:rsid w:val="00E1000F"/>
    <w:rsid w:val="00E271CA"/>
    <w:rsid w:val="00E30379"/>
    <w:rsid w:val="00E421C5"/>
    <w:rsid w:val="00E6707D"/>
    <w:rsid w:val="00E851CA"/>
    <w:rsid w:val="00EC494A"/>
    <w:rsid w:val="00EE5659"/>
    <w:rsid w:val="00EF6B1B"/>
    <w:rsid w:val="00EF7CC7"/>
    <w:rsid w:val="00F24300"/>
    <w:rsid w:val="01906A8C"/>
    <w:rsid w:val="03730DB3"/>
    <w:rsid w:val="0A4F6A43"/>
    <w:rsid w:val="0B0B4E4C"/>
    <w:rsid w:val="0B845119"/>
    <w:rsid w:val="0C61071F"/>
    <w:rsid w:val="0C975215"/>
    <w:rsid w:val="0D974428"/>
    <w:rsid w:val="0DB92179"/>
    <w:rsid w:val="0E7A19E1"/>
    <w:rsid w:val="105F0895"/>
    <w:rsid w:val="1147614D"/>
    <w:rsid w:val="11C35284"/>
    <w:rsid w:val="12357256"/>
    <w:rsid w:val="12A00CDD"/>
    <w:rsid w:val="13651CF4"/>
    <w:rsid w:val="154B5782"/>
    <w:rsid w:val="15E740D4"/>
    <w:rsid w:val="16360F9E"/>
    <w:rsid w:val="16BF21A1"/>
    <w:rsid w:val="1B68551F"/>
    <w:rsid w:val="1C324685"/>
    <w:rsid w:val="1C872822"/>
    <w:rsid w:val="1DBF29B8"/>
    <w:rsid w:val="1E155C81"/>
    <w:rsid w:val="21703321"/>
    <w:rsid w:val="219C0F8A"/>
    <w:rsid w:val="22AF53AC"/>
    <w:rsid w:val="23D56715"/>
    <w:rsid w:val="26117296"/>
    <w:rsid w:val="26D05E0D"/>
    <w:rsid w:val="27C46E1D"/>
    <w:rsid w:val="27EF243F"/>
    <w:rsid w:val="28A50DE6"/>
    <w:rsid w:val="2A2C4E72"/>
    <w:rsid w:val="2DB57994"/>
    <w:rsid w:val="30212B9E"/>
    <w:rsid w:val="33760006"/>
    <w:rsid w:val="33E1270B"/>
    <w:rsid w:val="33F725A8"/>
    <w:rsid w:val="35CB328A"/>
    <w:rsid w:val="35D778EF"/>
    <w:rsid w:val="385E1745"/>
    <w:rsid w:val="3AA640B0"/>
    <w:rsid w:val="3AB64605"/>
    <w:rsid w:val="3FB37F50"/>
    <w:rsid w:val="40401E4F"/>
    <w:rsid w:val="431C3B8A"/>
    <w:rsid w:val="435E7930"/>
    <w:rsid w:val="4A3776BC"/>
    <w:rsid w:val="4A8A1AB6"/>
    <w:rsid w:val="4B8F7908"/>
    <w:rsid w:val="4BCD1EA7"/>
    <w:rsid w:val="4BCE7437"/>
    <w:rsid w:val="4BEE7CE8"/>
    <w:rsid w:val="4E6264BD"/>
    <w:rsid w:val="4F175971"/>
    <w:rsid w:val="504639A3"/>
    <w:rsid w:val="506E3AE9"/>
    <w:rsid w:val="50E576CB"/>
    <w:rsid w:val="52673869"/>
    <w:rsid w:val="53B25800"/>
    <w:rsid w:val="55BD253B"/>
    <w:rsid w:val="55F511F6"/>
    <w:rsid w:val="565E627F"/>
    <w:rsid w:val="584D686D"/>
    <w:rsid w:val="5C7207AE"/>
    <w:rsid w:val="5D7140DA"/>
    <w:rsid w:val="5F067F0C"/>
    <w:rsid w:val="5FAE4497"/>
    <w:rsid w:val="60BF550A"/>
    <w:rsid w:val="63585BB2"/>
    <w:rsid w:val="650E0E71"/>
    <w:rsid w:val="66772A46"/>
    <w:rsid w:val="67332F74"/>
    <w:rsid w:val="67F60707"/>
    <w:rsid w:val="6868563A"/>
    <w:rsid w:val="6A711354"/>
    <w:rsid w:val="6A8E6B59"/>
    <w:rsid w:val="6C1D366A"/>
    <w:rsid w:val="6D3072C9"/>
    <w:rsid w:val="6D6E32A4"/>
    <w:rsid w:val="70D8413A"/>
    <w:rsid w:val="742472D5"/>
    <w:rsid w:val="74AA2070"/>
    <w:rsid w:val="79146320"/>
    <w:rsid w:val="7B4D157D"/>
    <w:rsid w:val="7BC96F03"/>
    <w:rsid w:val="7DFE3059"/>
    <w:rsid w:val="7FA3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样式 样式 样式 样式 小四 左 首行缩进:  2 字符 + 首行缩进:  2 字符 Char + 右  0 字符1 + 首行缩...3"/>
    <w:basedOn w:val="1"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ascii="Calibri" w:hAnsi="Calibri" w:cs="宋体"/>
      <w:sz w:val="24"/>
      <w:szCs w:val="20"/>
    </w:rPr>
  </w:style>
  <w:style w:type="paragraph" w:customStyle="1" w:styleId="10">
    <w:name w:val="样式2"/>
    <w:basedOn w:val="1"/>
    <w:qFormat/>
    <w:uiPriority w:val="0"/>
    <w:pPr>
      <w:jc w:val="center"/>
      <w:outlineLvl w:val="0"/>
    </w:pPr>
    <w:rPr>
      <w:rFonts w:ascii="宋体" w:hAnsi="宋体"/>
      <w:b/>
      <w:sz w:val="30"/>
      <w:szCs w:val="30"/>
    </w:rPr>
  </w:style>
  <w:style w:type="paragraph" w:customStyle="1" w:styleId="11">
    <w:name w:val="二级"/>
    <w:basedOn w:val="1"/>
    <w:qFormat/>
    <w:uiPriority w:val="0"/>
    <w:pPr>
      <w:tabs>
        <w:tab w:val="left" w:pos="851"/>
      </w:tabs>
      <w:spacing w:after="80" w:line="360" w:lineRule="auto"/>
      <w:ind w:left="851" w:hanging="851"/>
      <w:jc w:val="center"/>
      <w:outlineLvl w:val="3"/>
    </w:pPr>
    <w:rPr>
      <w:rFonts w:ascii="宋体" w:hAnsi="宋体"/>
      <w:b/>
      <w:sz w:val="28"/>
      <w:szCs w:val="2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1019</Words>
  <Characters>1167</Characters>
  <Lines>7</Lines>
  <Paragraphs>2</Paragraphs>
  <TotalTime>1</TotalTime>
  <ScaleCrop>false</ScaleCrop>
  <LinksUpToDate>false</LinksUpToDate>
  <CharactersWithSpaces>1241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2021-03-11T02:21:00Z</dcterms:created>
  <dc:creator>郭庆斌</dc:creator>
  <cp:lastModifiedBy>杨琳</cp:lastModifiedBy>
  <dcterms:modified xsi:type="dcterms:W3CDTF">2026-05-11T01:50:12Z</dcterms:modified>
  <dc:title>招标公告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A4AA01ABE6604A59A3E946245E3C1D31_13</vt:lpwstr>
  </property>
  <property fmtid="{D5CDD505-2E9C-101B-9397-08002B2CF9AE}" pid="4" name="KSOTemplateDocerSaveRecord">
    <vt:lpwstr>eyJoZGlkIjoiNDE2NDg4OTJkMTk2YTgxM2RhZmFhNTM0NzRiNmE0YjEiLCJ1c2VySWQiOiIzNzEwMjYzNzMifQ==</vt:lpwstr>
  </property>
</Properties>
</file>